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81" w:rsidRPr="00706C6F" w:rsidRDefault="00DF4781" w:rsidP="00DF4781">
      <w:pPr>
        <w:widowControl/>
        <w:spacing w:line="432" w:lineRule="auto"/>
        <w:rPr>
          <w:rFonts w:ascii="宋体" w:eastAsia="宋体" w:hAnsi="宋体" w:cs="宋体" w:hint="eastAsia"/>
          <w:color w:val="333333"/>
          <w:kern w:val="0"/>
          <w:sz w:val="24"/>
          <w:szCs w:val="24"/>
        </w:rPr>
      </w:pPr>
      <w:r w:rsidRPr="00706C6F">
        <w:rPr>
          <w:rFonts w:ascii="宋体" w:eastAsia="宋体" w:hAnsi="宋体" w:cs="宋体" w:hint="eastAsia"/>
          <w:bCs/>
          <w:color w:val="333333"/>
          <w:kern w:val="0"/>
          <w:sz w:val="24"/>
          <w:szCs w:val="24"/>
        </w:rPr>
        <w:t>附件1</w:t>
      </w:r>
    </w:p>
    <w:p w:rsidR="00DF4781" w:rsidRPr="00706C6F" w:rsidRDefault="00DF4781" w:rsidP="00DF4781">
      <w:pPr>
        <w:widowControl/>
        <w:spacing w:line="432" w:lineRule="auto"/>
        <w:jc w:val="center"/>
        <w:rPr>
          <w:rFonts w:ascii="黑体" w:eastAsia="黑体" w:hAnsi="宋体" w:cs="宋体" w:hint="eastAsia"/>
          <w:color w:val="333333"/>
          <w:kern w:val="0"/>
          <w:sz w:val="24"/>
          <w:szCs w:val="24"/>
        </w:rPr>
      </w:pPr>
      <w:r w:rsidRPr="00706C6F">
        <w:rPr>
          <w:rFonts w:ascii="黑体" w:eastAsia="黑体" w:hAnsi="宋体" w:cs="宋体" w:hint="eastAsia"/>
          <w:bCs/>
          <w:color w:val="333333"/>
          <w:kern w:val="0"/>
          <w:sz w:val="36"/>
          <w:szCs w:val="36"/>
        </w:rPr>
        <w:t>重</w:t>
      </w:r>
      <w:bookmarkStart w:id="0" w:name="_GoBack"/>
      <w:bookmarkEnd w:id="0"/>
      <w:r w:rsidRPr="00706C6F">
        <w:rPr>
          <w:rFonts w:ascii="黑体" w:eastAsia="黑体" w:hAnsi="宋体" w:cs="宋体" w:hint="eastAsia"/>
          <w:bCs/>
          <w:color w:val="333333"/>
          <w:kern w:val="0"/>
          <w:sz w:val="36"/>
          <w:szCs w:val="36"/>
        </w:rPr>
        <w:t>点任务分工</w:t>
      </w:r>
    </w:p>
    <w:p w:rsidR="00DF4781" w:rsidRPr="00706C6F" w:rsidRDefault="00DF4781" w:rsidP="00DF4781">
      <w:pPr>
        <w:widowControl/>
        <w:spacing w:line="432" w:lineRule="auto"/>
        <w:jc w:val="center"/>
        <w:rPr>
          <w:rFonts w:ascii="宋体" w:eastAsia="宋体" w:hAnsi="宋体" w:cs="宋体" w:hint="eastAsia"/>
          <w:color w:val="333333"/>
          <w:kern w:val="0"/>
          <w:sz w:val="24"/>
          <w:szCs w:val="24"/>
        </w:rPr>
      </w:pP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56"/>
        <w:gridCol w:w="5915"/>
      </w:tblGrid>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center"/>
              <w:rPr>
                <w:rFonts w:ascii="宋体" w:eastAsia="宋体" w:hAnsi="宋体" w:cs="宋体"/>
                <w:color w:val="333333"/>
                <w:kern w:val="0"/>
                <w:sz w:val="24"/>
                <w:szCs w:val="24"/>
              </w:rPr>
            </w:pPr>
            <w:r w:rsidRPr="00706C6F">
              <w:rPr>
                <w:rFonts w:ascii="Calibri" w:eastAsia="宋体" w:hAnsi="Calibri" w:cs="Times New Roman" w:hint="eastAsia"/>
                <w:bCs/>
                <w:color w:val="333333"/>
                <w:sz w:val="20"/>
                <w:szCs w:val="20"/>
              </w:rPr>
              <w:t>重点任务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center"/>
              <w:rPr>
                <w:rFonts w:ascii="宋体" w:eastAsia="宋体" w:hAnsi="宋体" w:cs="宋体"/>
                <w:color w:val="333333"/>
                <w:kern w:val="0"/>
                <w:sz w:val="24"/>
                <w:szCs w:val="24"/>
              </w:rPr>
            </w:pPr>
            <w:r w:rsidRPr="00706C6F">
              <w:rPr>
                <w:rFonts w:ascii="Calibri" w:eastAsia="宋体" w:hAnsi="Calibri" w:cs="Times New Roman" w:hint="eastAsia"/>
                <w:bCs/>
                <w:color w:val="333333"/>
                <w:sz w:val="20"/>
                <w:szCs w:val="20"/>
              </w:rPr>
              <w:t>负</w:t>
            </w:r>
            <w:r w:rsidRPr="00706C6F">
              <w:rPr>
                <w:rFonts w:ascii="Calibri" w:eastAsia="宋体" w:hAnsi="Calibri" w:cs="Times New Roman" w:hint="eastAsia"/>
                <w:bCs/>
                <w:color w:val="333333"/>
                <w:sz w:val="20"/>
                <w:szCs w:val="20"/>
              </w:rPr>
              <w:t xml:space="preserve">  </w:t>
            </w:r>
            <w:proofErr w:type="gramStart"/>
            <w:r w:rsidRPr="00706C6F">
              <w:rPr>
                <w:rFonts w:ascii="Calibri" w:eastAsia="宋体" w:hAnsi="Calibri" w:cs="Times New Roman" w:hint="eastAsia"/>
                <w:bCs/>
                <w:color w:val="333333"/>
                <w:sz w:val="20"/>
                <w:szCs w:val="20"/>
              </w:rPr>
              <w:t>责</w:t>
            </w:r>
            <w:proofErr w:type="gramEnd"/>
            <w:r w:rsidRPr="00706C6F">
              <w:rPr>
                <w:rFonts w:ascii="Calibri" w:eastAsia="宋体" w:hAnsi="Calibri" w:cs="Times New Roman" w:hint="eastAsia"/>
                <w:bCs/>
                <w:color w:val="333333"/>
                <w:sz w:val="20"/>
                <w:szCs w:val="20"/>
              </w:rPr>
              <w:t xml:space="preserve">  </w:t>
            </w:r>
            <w:r w:rsidRPr="00706C6F">
              <w:rPr>
                <w:rFonts w:ascii="Calibri" w:eastAsia="宋体" w:hAnsi="Calibri" w:cs="Times New Roman" w:hint="eastAsia"/>
                <w:bCs/>
                <w:color w:val="333333"/>
                <w:sz w:val="20"/>
                <w:szCs w:val="20"/>
              </w:rPr>
              <w:t>单</w:t>
            </w:r>
            <w:r w:rsidRPr="00706C6F">
              <w:rPr>
                <w:rFonts w:ascii="Calibri" w:eastAsia="宋体" w:hAnsi="Calibri" w:cs="Times New Roman" w:hint="eastAsia"/>
                <w:bCs/>
                <w:color w:val="333333"/>
                <w:sz w:val="20"/>
                <w:szCs w:val="20"/>
              </w:rPr>
              <w:t xml:space="preserve">  </w:t>
            </w:r>
            <w:r w:rsidRPr="00706C6F">
              <w:rPr>
                <w:rFonts w:ascii="Calibri" w:eastAsia="宋体" w:hAnsi="Calibri" w:cs="Times New Roman" w:hint="eastAsia"/>
                <w:bCs/>
                <w:color w:val="333333"/>
                <w:sz w:val="20"/>
                <w:szCs w:val="20"/>
              </w:rPr>
              <w:t>位</w:t>
            </w:r>
          </w:p>
        </w:tc>
      </w:tr>
      <w:tr w:rsidR="00DF4781" w:rsidRPr="00706C6F" w:rsidTr="00165C3B">
        <w:trPr>
          <w:jc w:val="center"/>
        </w:trPr>
        <w:tc>
          <w:tcPr>
            <w:tcW w:w="9071" w:type="dxa"/>
            <w:gridSpan w:val="2"/>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bCs/>
                <w:color w:val="333333"/>
                <w:sz w:val="20"/>
                <w:szCs w:val="20"/>
              </w:rPr>
              <w:t>加强全过程监管</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优化医疗卫生服务要素准入</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科技部、民政部、国家中医药局、国家药监局、中央军委后勤保障部卫生局分别负责，工业和信息化部、人力资源社会保障部、商务部、市场监管总局参与（分别负责为各部门按职责分别牵头，下同）</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加强医疗服务质量和安全监管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color w:val="333333"/>
                <w:sz w:val="20"/>
                <w:szCs w:val="20"/>
              </w:rPr>
              <w:t> </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完善国家医疗质量管理与控制的制度建设和组织体系等</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国家卫生健康委、教育部、民政部、司法部、国务院国资委、海关总署、国家中医药局、中央军委后勤保障部卫生局负责（排在第一位的部门为牵头部门，下同）</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加强对医疗机构采购和使用药品、耗材、医疗器械等医疗相关产品的监管等</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国家卫生健康委、教育部、国务院国资委、海关总署、国家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加强医疗卫生机构运行监管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color w:val="333333"/>
                <w:sz w:val="20"/>
                <w:szCs w:val="20"/>
              </w:rPr>
              <w:t> </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加强公立医疗卫生机构综合绩效考核等</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国家卫生健康委、财政部分别负责，国家发展改革委、教育部、人力资源社会保障部、国务院国资委、海关总署、国家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保局、国家中医药局、中央军委后勤保障部卫生局参与</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lastRenderedPageBreak/>
              <w:t>严格执行非营利性和营利性医疗机构分类管理要求等</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国家卫生健康委、国家发展改革委、教育部、民政部、财政部、人力资源社会保障部、国务院国资委、海关总署、税务总局、市场监管总局、国家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积极发挥各类医疗保险对医疗服务行为的引导与监督制约作用等</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保局、银保监会分别负责，国家发展改革委、财政部、国家卫生健康委、国家中医药局参与</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加强公共卫生服务监管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国家卫生健康委、国家发展改革委、教育部、财政部、生态环境部、住房城乡建设部、水利部、海关总署、市场监管总局、国家中医药局、中央军委后勤保障部卫生局负责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加强医疗卫生从业人员监管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国家卫生健康委、国家中医药局、中央军委后勤保障部卫生局分别负责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加强医疗卫生服务行业秩序监管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国家卫生健康委、中央宣传部、</w:t>
            </w:r>
            <w:proofErr w:type="gramStart"/>
            <w:r w:rsidRPr="00706C6F">
              <w:rPr>
                <w:rFonts w:ascii="Calibri" w:eastAsia="宋体" w:hAnsi="Calibri" w:cs="Times New Roman" w:hint="eastAsia"/>
                <w:color w:val="333333"/>
                <w:sz w:val="20"/>
                <w:szCs w:val="20"/>
              </w:rPr>
              <w:t>中央网信办</w:t>
            </w:r>
            <w:proofErr w:type="gramEnd"/>
            <w:r w:rsidRPr="00706C6F">
              <w:rPr>
                <w:rFonts w:ascii="Calibri" w:eastAsia="宋体" w:hAnsi="Calibri" w:cs="Times New Roman" w:hint="eastAsia"/>
                <w:color w:val="333333"/>
                <w:sz w:val="20"/>
                <w:szCs w:val="20"/>
              </w:rPr>
              <w:t>、中央政法委、公安部、司法部、人力资源社会保障部、商务部、海关总署、市场监管总局、广电总局、国家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保局、国家中医药局、国家药监局、中央军委后勤保障部卫生局分别负责，国家监委、最高人民法院、最高人民检察院参与</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加强健康产业监管</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w:t>
            </w:r>
            <w:proofErr w:type="gramStart"/>
            <w:r w:rsidRPr="00706C6F">
              <w:rPr>
                <w:rFonts w:ascii="Calibri" w:eastAsia="宋体" w:hAnsi="Calibri" w:cs="Times New Roman" w:hint="eastAsia"/>
                <w:color w:val="333333"/>
                <w:sz w:val="20"/>
                <w:szCs w:val="20"/>
              </w:rPr>
              <w:t>中央网信办</w:t>
            </w:r>
            <w:proofErr w:type="gramEnd"/>
            <w:r w:rsidRPr="00706C6F">
              <w:rPr>
                <w:rFonts w:ascii="Calibri" w:eastAsia="宋体" w:hAnsi="Calibri" w:cs="Times New Roman" w:hint="eastAsia"/>
                <w:color w:val="333333"/>
                <w:sz w:val="20"/>
                <w:szCs w:val="20"/>
              </w:rPr>
              <w:t>、国家发展改革委、科技部、工业和信息化部、民政部、财政部、人力资源社会保障部、商务部、文化和旅游部、国务院国资委、海关总署、税务总局、市场监管总局、广电总局、体育总局、国家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保局、银保监会、国家中医</w:t>
            </w:r>
            <w:r w:rsidRPr="00706C6F">
              <w:rPr>
                <w:rFonts w:ascii="Calibri" w:eastAsia="宋体" w:hAnsi="Calibri" w:cs="Times New Roman" w:hint="eastAsia"/>
                <w:color w:val="333333"/>
                <w:sz w:val="20"/>
                <w:szCs w:val="20"/>
              </w:rPr>
              <w:lastRenderedPageBreak/>
              <w:t>药局、国家药监局负责</w:t>
            </w:r>
          </w:p>
        </w:tc>
      </w:tr>
      <w:tr w:rsidR="00DF4781" w:rsidRPr="00706C6F" w:rsidTr="00165C3B">
        <w:trPr>
          <w:jc w:val="center"/>
        </w:trPr>
        <w:tc>
          <w:tcPr>
            <w:tcW w:w="3156" w:type="dxa"/>
            <w:gridSpan w:val="2"/>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bCs/>
                <w:color w:val="333333"/>
                <w:sz w:val="20"/>
                <w:szCs w:val="20"/>
              </w:rPr>
              <w:lastRenderedPageBreak/>
              <w:t>创新监管机制</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完善规范化行政执法机制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国家卫生健康委、国家中医药局负责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全面推行“双随机、</w:t>
            </w:r>
            <w:proofErr w:type="gramStart"/>
            <w:r w:rsidRPr="00706C6F">
              <w:rPr>
                <w:rFonts w:ascii="楷体_GB2312" w:eastAsia="楷体_GB2312" w:hAnsi="宋体" w:cs="宋体" w:hint="eastAsia"/>
                <w:color w:val="333333"/>
                <w:kern w:val="0"/>
                <w:sz w:val="20"/>
                <w:szCs w:val="20"/>
              </w:rPr>
              <w:t>一</w:t>
            </w:r>
            <w:proofErr w:type="gramEnd"/>
            <w:r w:rsidRPr="00706C6F">
              <w:rPr>
                <w:rFonts w:ascii="楷体_GB2312" w:eastAsia="楷体_GB2312" w:hAnsi="宋体" w:cs="宋体" w:hint="eastAsia"/>
                <w:color w:val="333333"/>
                <w:kern w:val="0"/>
                <w:sz w:val="20"/>
                <w:szCs w:val="20"/>
              </w:rPr>
              <w:t>公开”抽查机制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国家卫生健康委、国家发展改革委、人力资源社会保障部、海关总署、税务总局、市场监管总局、国家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建立健全医疗卫生行业信用机制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国家卫生健康委、国家发展改革委、公安部、财政部、人力资源社会保障部、商务部、人民银行、海关总署、税务总局、市场监管总局、国家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保局、国家中医药局、国家药监局、中央军委后勤保障部卫生局、最高人民法院、最高人民检察院负责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健全信息公开机制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国家卫生健康委、国家发展改革委、教育部、财政部、人力资源社会保障部、商务部、国务院国资委、海关总署、税务总局、市场监管总局、国家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建立风险预警和评估机制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w:t>
            </w:r>
            <w:proofErr w:type="gramStart"/>
            <w:r w:rsidRPr="00706C6F">
              <w:rPr>
                <w:rFonts w:ascii="Calibri" w:eastAsia="宋体" w:hAnsi="Calibri" w:cs="Times New Roman" w:hint="eastAsia"/>
                <w:color w:val="333333"/>
                <w:sz w:val="20"/>
                <w:szCs w:val="20"/>
              </w:rPr>
              <w:t>中央网信办</w:t>
            </w:r>
            <w:proofErr w:type="gramEnd"/>
            <w:r w:rsidRPr="00706C6F">
              <w:rPr>
                <w:rFonts w:ascii="Calibri" w:eastAsia="宋体" w:hAnsi="Calibri" w:cs="Times New Roman" w:hint="eastAsia"/>
                <w:color w:val="333333"/>
                <w:sz w:val="20"/>
                <w:szCs w:val="20"/>
              </w:rPr>
              <w:t>、国家发展改革委、教育部、财政部、人力资源社会保障部、国务院国资委、海关总署、税务总局、市场监管总局、国家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保局、国家中医药局、国家药监局、中央军委后勤保障部卫生局负责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形成网格化管理机制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国家卫生健康委、中央政法委、住房城乡建设部、国家中医药局</w:t>
            </w:r>
            <w:r w:rsidRPr="00706C6F">
              <w:rPr>
                <w:rFonts w:ascii="Calibri" w:eastAsia="宋体" w:hAnsi="Calibri" w:cs="Times New Roman" w:hint="eastAsia"/>
                <w:color w:val="333333"/>
                <w:sz w:val="20"/>
                <w:szCs w:val="20"/>
              </w:rPr>
              <w:lastRenderedPageBreak/>
              <w:t>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lastRenderedPageBreak/>
              <w:t>建立综合监管结果协同运用机制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国家卫生健康委、国家发展改革委、教育部、财政部、人力资源社会保障部、国务院国资委、海关总署、市场监管总局、国家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保局、国家中医药局、中央军委后勤保障部卫生局负责</w:t>
            </w:r>
          </w:p>
        </w:tc>
      </w:tr>
      <w:tr w:rsidR="00DF4781" w:rsidRPr="00706C6F" w:rsidTr="00165C3B">
        <w:trPr>
          <w:jc w:val="center"/>
        </w:trPr>
        <w:tc>
          <w:tcPr>
            <w:tcW w:w="9071" w:type="dxa"/>
            <w:gridSpan w:val="2"/>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bCs/>
                <w:color w:val="333333"/>
                <w:sz w:val="20"/>
                <w:szCs w:val="20"/>
              </w:rPr>
              <w:t>加强保障落实</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落实部门责任</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国家发展改革委、教育部、公安部、民政部、司法部、财政部、人力资源社会保障部、生态环境部、住房城乡建设部、水利部、商务部、人民银行、审计署、国务院国资委、海关总署、税务总局、市场监管总局、国家</w:t>
            </w:r>
            <w:proofErr w:type="gramStart"/>
            <w:r w:rsidRPr="00706C6F">
              <w:rPr>
                <w:rFonts w:ascii="Calibri" w:eastAsia="宋体" w:hAnsi="Calibri" w:cs="Times New Roman" w:hint="eastAsia"/>
                <w:color w:val="333333"/>
                <w:sz w:val="20"/>
                <w:szCs w:val="20"/>
              </w:rPr>
              <w:t>医</w:t>
            </w:r>
            <w:proofErr w:type="gramEnd"/>
            <w:r w:rsidRPr="00706C6F">
              <w:rPr>
                <w:rFonts w:ascii="Calibri" w:eastAsia="宋体" w:hAnsi="Calibri" w:cs="Times New Roman" w:hint="eastAsia"/>
                <w:color w:val="333333"/>
                <w:sz w:val="20"/>
                <w:szCs w:val="20"/>
              </w:rPr>
              <w:t>保局、银保监会、国家中医药局、国家药监局、中央军委后勤保障部卫生局等分别负责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加大责任追究力度</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建立权威有效的督察机制</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完善法律法规和标准体系</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国家卫生健康委、司法部、市场监管总局、国家中医药局、中央军委后勤保障部卫生局负责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提升信息化水平</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w:t>
            </w:r>
            <w:proofErr w:type="gramStart"/>
            <w:r w:rsidRPr="00706C6F">
              <w:rPr>
                <w:rFonts w:ascii="Calibri" w:eastAsia="宋体" w:hAnsi="Calibri" w:cs="Times New Roman" w:hint="eastAsia"/>
                <w:color w:val="333333"/>
                <w:sz w:val="20"/>
                <w:szCs w:val="20"/>
              </w:rPr>
              <w:t>中央网信办</w:t>
            </w:r>
            <w:proofErr w:type="gramEnd"/>
            <w:r w:rsidRPr="00706C6F">
              <w:rPr>
                <w:rFonts w:ascii="Calibri" w:eastAsia="宋体" w:hAnsi="Calibri" w:cs="Times New Roman" w:hint="eastAsia"/>
                <w:color w:val="333333"/>
                <w:sz w:val="20"/>
                <w:szCs w:val="20"/>
              </w:rPr>
              <w:t>、国家发展改革委、工业和信息化部、财政部、国家中医药局、中央军委后勤保障部卫生局负责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加强队伍和能力建设</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国家卫生健康委、中央组织部、国家发展改革委、财政部、人力资源社会保障部分别负责，国家中医药局、中央军委后勤保障部</w:t>
            </w:r>
            <w:r w:rsidRPr="00706C6F">
              <w:rPr>
                <w:rFonts w:ascii="Calibri" w:eastAsia="宋体" w:hAnsi="Calibri" w:cs="Times New Roman" w:hint="eastAsia"/>
                <w:color w:val="333333"/>
                <w:sz w:val="20"/>
                <w:szCs w:val="20"/>
              </w:rPr>
              <w:lastRenderedPageBreak/>
              <w:t>卫生局参与</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lastRenderedPageBreak/>
              <w:t>加强宣传引导</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中央宣传部、</w:t>
            </w:r>
            <w:proofErr w:type="gramStart"/>
            <w:r w:rsidRPr="00706C6F">
              <w:rPr>
                <w:rFonts w:ascii="Calibri" w:eastAsia="宋体" w:hAnsi="Calibri" w:cs="Times New Roman" w:hint="eastAsia"/>
                <w:color w:val="333333"/>
                <w:sz w:val="20"/>
                <w:szCs w:val="20"/>
              </w:rPr>
              <w:t>中央网信办</w:t>
            </w:r>
            <w:proofErr w:type="gramEnd"/>
            <w:r w:rsidRPr="00706C6F">
              <w:rPr>
                <w:rFonts w:ascii="Calibri" w:eastAsia="宋体" w:hAnsi="Calibri" w:cs="Times New Roman" w:hint="eastAsia"/>
                <w:color w:val="333333"/>
                <w:sz w:val="20"/>
                <w:szCs w:val="20"/>
              </w:rPr>
              <w:t>、国家卫生健康委分别负责</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楷体_GB2312" w:eastAsia="楷体_GB2312" w:hAnsi="宋体" w:cs="宋体" w:hint="eastAsia"/>
                <w:color w:val="333333"/>
                <w:kern w:val="0"/>
                <w:sz w:val="20"/>
                <w:szCs w:val="20"/>
              </w:rPr>
              <w:t>加强地方组织实施</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color w:val="333333"/>
                <w:sz w:val="20"/>
                <w:szCs w:val="20"/>
              </w:rPr>
              <w:t> </w:t>
            </w:r>
          </w:p>
        </w:tc>
      </w:tr>
      <w:tr w:rsidR="00DF4781" w:rsidRPr="00706C6F" w:rsidTr="00165C3B">
        <w:trPr>
          <w:jc w:val="center"/>
        </w:trPr>
        <w:tc>
          <w:tcPr>
            <w:tcW w:w="3156" w:type="dxa"/>
            <w:tcBorders>
              <w:top w:val="single" w:sz="6" w:space="0" w:color="auto"/>
              <w:left w:val="single" w:sz="6" w:space="0" w:color="auto"/>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jc w:val="left"/>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各地要制定具体实施方案，将地方各级政府和有关部门的综合监管工作履职情况与其综合目标管理考核情况相挂钩，纳入重大事项督查范围，切实提高监管效能</w:t>
            </w:r>
          </w:p>
        </w:tc>
        <w:tc>
          <w:tcPr>
            <w:tcW w:w="5915" w:type="dxa"/>
            <w:tcBorders>
              <w:top w:val="single" w:sz="6" w:space="0" w:color="auto"/>
              <w:left w:val="nil"/>
              <w:bottom w:val="single" w:sz="6" w:space="0" w:color="auto"/>
              <w:right w:val="single" w:sz="6" w:space="0" w:color="auto"/>
            </w:tcBorders>
            <w:vAlign w:val="center"/>
            <w:hideMark/>
          </w:tcPr>
          <w:p w:rsidR="00DF4781" w:rsidRPr="00706C6F" w:rsidRDefault="00DF4781" w:rsidP="00165C3B">
            <w:pPr>
              <w:widowControl/>
              <w:spacing w:before="100" w:beforeAutospacing="1" w:after="180" w:line="480" w:lineRule="auto"/>
              <w:rPr>
                <w:rFonts w:ascii="宋体" w:eastAsia="宋体" w:hAnsi="宋体" w:cs="宋体"/>
                <w:color w:val="333333"/>
                <w:kern w:val="0"/>
                <w:sz w:val="24"/>
                <w:szCs w:val="24"/>
              </w:rPr>
            </w:pPr>
            <w:r w:rsidRPr="00706C6F">
              <w:rPr>
                <w:rFonts w:ascii="Calibri" w:eastAsia="宋体" w:hAnsi="Calibri" w:cs="Times New Roman" w:hint="eastAsia"/>
                <w:color w:val="333333"/>
                <w:sz w:val="20"/>
                <w:szCs w:val="20"/>
              </w:rPr>
              <w:t>各省（自治区、直辖市）人民政府分别负责</w:t>
            </w:r>
          </w:p>
        </w:tc>
      </w:tr>
    </w:tbl>
    <w:p w:rsidR="00DF4781" w:rsidRPr="00706C6F" w:rsidRDefault="00DF4781" w:rsidP="00DF4781">
      <w:pPr>
        <w:widowControl/>
        <w:spacing w:line="432" w:lineRule="auto"/>
        <w:jc w:val="center"/>
        <w:rPr>
          <w:rFonts w:ascii="宋体" w:eastAsia="宋体" w:hAnsi="宋体" w:cs="宋体" w:hint="eastAsia"/>
          <w:color w:val="333333"/>
          <w:kern w:val="0"/>
          <w:sz w:val="24"/>
          <w:szCs w:val="24"/>
        </w:rPr>
      </w:pPr>
    </w:p>
    <w:p w:rsidR="00DF4781" w:rsidRPr="00706C6F" w:rsidRDefault="00DF4781" w:rsidP="00DF4781">
      <w:pPr>
        <w:widowControl/>
        <w:spacing w:line="432" w:lineRule="auto"/>
        <w:ind w:firstLine="480"/>
        <w:rPr>
          <w:rFonts w:ascii="宋体" w:eastAsia="宋体" w:hAnsi="宋体" w:cs="宋体" w:hint="eastAsia"/>
          <w:color w:val="333333"/>
          <w:kern w:val="0"/>
          <w:sz w:val="24"/>
          <w:szCs w:val="24"/>
        </w:rPr>
      </w:pPr>
    </w:p>
    <w:p w:rsidR="00DF4781" w:rsidRPr="00706C6F" w:rsidRDefault="00DF4781" w:rsidP="00DF4781">
      <w:pPr>
        <w:widowControl/>
        <w:spacing w:line="432" w:lineRule="auto"/>
        <w:rPr>
          <w:rFonts w:ascii="宋体" w:eastAsia="宋体" w:hAnsi="宋体" w:cs="宋体" w:hint="eastAsia"/>
          <w:color w:val="333333"/>
          <w:kern w:val="0"/>
          <w:sz w:val="24"/>
          <w:szCs w:val="24"/>
        </w:rPr>
      </w:pPr>
      <w:r w:rsidRPr="00706C6F">
        <w:rPr>
          <w:rFonts w:ascii="宋体" w:eastAsia="宋体" w:hAnsi="宋体" w:cs="宋体" w:hint="eastAsia"/>
          <w:b/>
          <w:bCs/>
          <w:color w:val="333333"/>
          <w:kern w:val="0"/>
          <w:sz w:val="24"/>
          <w:szCs w:val="24"/>
        </w:rPr>
        <w:t>附件2</w:t>
      </w:r>
    </w:p>
    <w:p w:rsidR="00DF4781" w:rsidRPr="00706C6F" w:rsidRDefault="00DF4781" w:rsidP="00DF4781">
      <w:pPr>
        <w:widowControl/>
        <w:spacing w:line="432" w:lineRule="auto"/>
        <w:jc w:val="center"/>
        <w:rPr>
          <w:rFonts w:ascii="宋体" w:eastAsia="宋体" w:hAnsi="宋体" w:cs="宋体" w:hint="eastAsia"/>
          <w:color w:val="333333"/>
          <w:kern w:val="0"/>
          <w:sz w:val="24"/>
          <w:szCs w:val="24"/>
        </w:rPr>
      </w:pPr>
      <w:r w:rsidRPr="00706C6F">
        <w:rPr>
          <w:rFonts w:ascii="宋体" w:eastAsia="宋体" w:hAnsi="宋体" w:cs="宋体" w:hint="eastAsia"/>
          <w:b/>
          <w:bCs/>
          <w:color w:val="333333"/>
          <w:kern w:val="0"/>
          <w:sz w:val="36"/>
          <w:szCs w:val="36"/>
        </w:rPr>
        <w:t>医疗卫生行业综合监管部门职责分工</w:t>
      </w:r>
    </w:p>
    <w:p w:rsidR="00DF4781" w:rsidRPr="00706C6F" w:rsidRDefault="00DF4781" w:rsidP="00DF4781">
      <w:pPr>
        <w:widowControl/>
        <w:spacing w:line="432" w:lineRule="auto"/>
        <w:ind w:firstLine="480"/>
        <w:rPr>
          <w:rFonts w:ascii="宋体" w:eastAsia="宋体" w:hAnsi="宋体" w:cs="宋体" w:hint="eastAsia"/>
          <w:color w:val="333333"/>
          <w:kern w:val="0"/>
          <w:sz w:val="24"/>
          <w:szCs w:val="24"/>
        </w:rPr>
      </w:pPr>
    </w:p>
    <w:p w:rsidR="00DF4781" w:rsidRPr="00706C6F" w:rsidRDefault="00DF4781" w:rsidP="00DF4781">
      <w:pPr>
        <w:widowControl/>
        <w:spacing w:line="432" w:lineRule="auto"/>
        <w:ind w:firstLine="480"/>
        <w:rPr>
          <w:rFonts w:ascii="宋体" w:eastAsia="宋体" w:hAnsi="宋体" w:cs="宋体" w:hint="eastAsia"/>
          <w:color w:val="333333"/>
          <w:kern w:val="0"/>
          <w:sz w:val="24"/>
          <w:szCs w:val="24"/>
        </w:rPr>
      </w:pPr>
      <w:r w:rsidRPr="00706C6F">
        <w:rPr>
          <w:rFonts w:ascii="宋体" w:eastAsia="宋体" w:hAnsi="宋体" w:cs="宋体" w:hint="eastAsia"/>
          <w:color w:val="333333"/>
          <w:kern w:val="0"/>
          <w:sz w:val="24"/>
          <w:szCs w:val="24"/>
        </w:rPr>
        <w:t>卫生健康行政部门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p>
    <w:p w:rsidR="00DF4781" w:rsidRPr="00706C6F" w:rsidRDefault="00DF4781" w:rsidP="00DF4781">
      <w:pPr>
        <w:widowControl/>
        <w:spacing w:line="432" w:lineRule="auto"/>
        <w:ind w:firstLine="480"/>
        <w:rPr>
          <w:rFonts w:ascii="宋体" w:eastAsia="宋体" w:hAnsi="宋体" w:cs="宋体" w:hint="eastAsia"/>
          <w:color w:val="333333"/>
          <w:kern w:val="0"/>
          <w:sz w:val="24"/>
          <w:szCs w:val="24"/>
        </w:rPr>
      </w:pPr>
      <w:r w:rsidRPr="00706C6F">
        <w:rPr>
          <w:rFonts w:ascii="宋体" w:eastAsia="宋体" w:hAnsi="宋体" w:cs="宋体" w:hint="eastAsia"/>
          <w:color w:val="333333"/>
          <w:kern w:val="0"/>
          <w:sz w:val="24"/>
          <w:szCs w:val="24"/>
        </w:rPr>
        <w:t>发展改革部门会同人民银行负责完善社会信用体系。公安部门负责依法查处打击各类扰乱医院秩序、伤害医务人员等违法犯罪行为，打击非法行医犯罪活动，配合加强平安医院建设。民政部门负责医疗卫生行业民办非企业单位和医疗卫生行业组织登记管理工作。司法行政部门负责指导医疗纠纷人民调解工作，会同卫</w:t>
      </w:r>
      <w:r w:rsidRPr="00706C6F">
        <w:rPr>
          <w:rFonts w:ascii="宋体" w:eastAsia="宋体" w:hAnsi="宋体" w:cs="宋体" w:hint="eastAsia"/>
          <w:color w:val="333333"/>
          <w:kern w:val="0"/>
          <w:sz w:val="24"/>
          <w:szCs w:val="24"/>
        </w:rPr>
        <w:lastRenderedPageBreak/>
        <w:t>生健康行政部门加强医疗纠纷人民调解组织、队伍和专家库建设。财政部门会同有关部门开展财务和专项资金监管。人力资源社会保障部门负责医疗卫生行业有关从业人员资格认定的监管。商务主管部门负责外商投资医疗卫生机构设立及变更事项的审批和监管。审计部门依法对医疗卫生机构开展审计监督。税务部门负责医疗卫生行业税收管理。市场监管部门负责医疗卫生行业价格监督检查。医疗保障部门负责组织制定和调整药品、医疗服务价格和收费标准，制定药品和医用耗材的招标采购政策并监督实施，会同银行保险监管部门按照职责监督管理纳入</w:t>
      </w:r>
      <w:proofErr w:type="gramStart"/>
      <w:r w:rsidRPr="00706C6F">
        <w:rPr>
          <w:rFonts w:ascii="宋体" w:eastAsia="宋体" w:hAnsi="宋体" w:cs="宋体" w:hint="eastAsia"/>
          <w:color w:val="333333"/>
          <w:kern w:val="0"/>
          <w:sz w:val="24"/>
          <w:szCs w:val="24"/>
        </w:rPr>
        <w:t>医保范围</w:t>
      </w:r>
      <w:proofErr w:type="gramEnd"/>
      <w:r w:rsidRPr="00706C6F">
        <w:rPr>
          <w:rFonts w:ascii="宋体" w:eastAsia="宋体" w:hAnsi="宋体" w:cs="宋体" w:hint="eastAsia"/>
          <w:color w:val="333333"/>
          <w:kern w:val="0"/>
          <w:sz w:val="24"/>
          <w:szCs w:val="24"/>
        </w:rPr>
        <w:t>内医疗机构相关服务行为和医疗费用。中医药管理部门负责中医医疗机构、中医医师、中医医疗卫生服务监管。药品监管部门负责药品、医疗器械的行政审批和监管，负责执业药师的管理。军队卫生部门负责军队医疗卫生机构和服务监管。教育、生态环境、住房城乡建设、水利等部门依职责承担相关公共卫生服务监管。民政、司法行政、教育、国资、海关、中医药管理、军队卫生等部门依照职责负责所办医疗机构日常监管工作，加强信息共享和联合惩戒。其他相关部门按照职责做好医疗卫生行业综合监管工作。</w:t>
      </w:r>
    </w:p>
    <w:p w:rsidR="00B32B8B" w:rsidRPr="00DF4781" w:rsidRDefault="00B32B8B"/>
    <w:sectPr w:rsidR="00B32B8B" w:rsidRPr="00DF4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81"/>
    <w:rsid w:val="00B32B8B"/>
    <w:rsid w:val="00DF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2548</Characters>
  <Application>Microsoft Office Word</Application>
  <DocSecurity>0</DocSecurity>
  <Lines>21</Lines>
  <Paragraphs>5</Paragraphs>
  <ScaleCrop>false</ScaleCrop>
  <Company>微软中国</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2018-08-06T06:59:00Z</dcterms:created>
  <dcterms:modified xsi:type="dcterms:W3CDTF">2018-08-06T07:00:00Z</dcterms:modified>
</cp:coreProperties>
</file>